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spacing w:before="0" w:line="288" w:lineRule="auto"/>
        <w:rPr>
          <w:rFonts w:ascii="Tahoma" w:cs="Tahoma" w:eastAsia="Tahoma" w:hAnsi="Tahoma"/>
          <w:b w:val="1"/>
          <w:sz w:val="39"/>
          <w:szCs w:val="39"/>
          <w:highlight w:val="white"/>
        </w:rPr>
      </w:pPr>
      <w:bookmarkStart w:colFirst="0" w:colLast="0" w:name="_2rnenmy7l9bk" w:id="0"/>
      <w:bookmarkEnd w:id="0"/>
      <w:r w:rsidDel="00000000" w:rsidR="00000000" w:rsidRPr="00000000">
        <w:rPr>
          <w:rFonts w:ascii="Tahoma" w:cs="Tahoma" w:eastAsia="Tahoma" w:hAnsi="Tahoma"/>
          <w:b w:val="1"/>
          <w:sz w:val="39"/>
          <w:szCs w:val="39"/>
          <w:highlight w:val="white"/>
          <w:rtl w:val="0"/>
        </w:rPr>
        <w:t xml:space="preserve">SUSSIDI DIDATTICI</w:t>
      </w:r>
    </w:p>
    <w:p w:rsidR="00000000" w:rsidDel="00000000" w:rsidP="00000000" w:rsidRDefault="00000000" w:rsidRPr="00000000" w14:paraId="00000002">
      <w:pPr>
        <w:spacing w:after="240" w:lineRule="auto"/>
        <w:rPr>
          <w:rFonts w:ascii="Tahoma" w:cs="Tahoma" w:eastAsia="Tahoma" w:hAnsi="Tahoma"/>
          <w:b w:val="1"/>
          <w:sz w:val="39"/>
          <w:szCs w:val="39"/>
          <w:highlight w:val="white"/>
        </w:rPr>
      </w:pPr>
      <w:r w:rsidDel="00000000" w:rsidR="00000000" w:rsidRPr="00000000">
        <w:rPr>
          <w:rFonts w:ascii="Tahoma" w:cs="Tahoma" w:eastAsia="Tahoma" w:hAnsi="Tahoma"/>
          <w:b w:val="1"/>
          <w:sz w:val="39"/>
          <w:szCs w:val="39"/>
          <w:highlight w:val="white"/>
        </w:rPr>
        <w:drawing>
          <wp:inline distB="114300" distT="114300" distL="114300" distR="114300">
            <wp:extent cx="4991100" cy="15875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4991100" cy="15875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240" w:lineRule="auto"/>
        <w:rPr>
          <w:sz w:val="27"/>
          <w:szCs w:val="27"/>
          <w:highlight w:val="white"/>
        </w:rPr>
      </w:pPr>
      <w:r w:rsidDel="00000000" w:rsidR="00000000" w:rsidRPr="00000000">
        <w:rPr>
          <w:sz w:val="27"/>
          <w:szCs w:val="27"/>
          <w:highlight w:val="white"/>
          <w:rtl w:val="0"/>
        </w:rPr>
        <w:t xml:space="preserve">Avviso</w:t>
      </w:r>
      <w:r w:rsidDel="00000000" w:rsidR="00000000" w:rsidRPr="00000000">
        <w:rPr>
          <w:rFonts w:ascii="Tahoma" w:cs="Tahoma" w:eastAsia="Tahoma" w:hAnsi="Tahoma"/>
          <w:sz w:val="27"/>
          <w:szCs w:val="27"/>
          <w:highlight w:val="white"/>
          <w:rtl w:val="0"/>
        </w:rPr>
        <w:t xml:space="preserve">  </w:t>
      </w:r>
      <w:r w:rsidDel="00000000" w:rsidR="00000000" w:rsidRPr="00000000">
        <w:rPr>
          <w:sz w:val="27"/>
          <w:szCs w:val="27"/>
          <w:highlight w:val="white"/>
          <w:rtl w:val="0"/>
        </w:rPr>
        <w:t xml:space="preserve">Pubblico Fondi Strutturali Europei – Programma Operativo Nazionale “Per la scuola, competenze eambienti per l’apprendimento” 2014-2020- Asse II – Infrastrutture per l’istruzione – Fondo europeo di sviluppo regionale (FESR)- Obiettivo Specifico 10.8 – Azione 10.8.6 – “Azioni per l’allestimento di centri scolastici digitali e per favorire l’attrattività e l’accessibilità anche nelle aree rurali ed interne”, 4878 del 17 aprile 2020</w:t>
      </w:r>
    </w:p>
    <w:p w:rsidR="00000000" w:rsidDel="00000000" w:rsidP="00000000" w:rsidRDefault="00000000" w:rsidRPr="00000000" w14:paraId="00000004">
      <w:pPr>
        <w:spacing w:after="240" w:lineRule="auto"/>
        <w:rPr>
          <w:sz w:val="27"/>
          <w:szCs w:val="27"/>
          <w:highlight w:val="white"/>
        </w:rPr>
      </w:pPr>
      <w:r w:rsidDel="00000000" w:rsidR="00000000" w:rsidRPr="00000000">
        <w:rPr>
          <w:sz w:val="27"/>
          <w:szCs w:val="27"/>
          <w:highlight w:val="white"/>
          <w:rtl w:val="0"/>
        </w:rPr>
        <w:t xml:space="preserve">si pone l’obiettivo di offrire alle istituzioni scolastiche l’opportunità di realizzare classi virtuali adatte a consentire, anche per le studentesse e gli studenti delle istituzioni scolastiche statali del I ciclo d’istruzione e, prioritariamente, della scuola primaria, forme di didattica digitale. La necessità di equipaggiare le scuole del primo ciclo nasce dalla constatazione che gli studenti più giovani raramente sono in possesso di </w:t>
      </w:r>
      <w:r w:rsidDel="00000000" w:rsidR="00000000" w:rsidRPr="00000000">
        <w:rPr>
          <w:i w:val="1"/>
          <w:sz w:val="27"/>
          <w:szCs w:val="27"/>
          <w:highlight w:val="white"/>
          <w:rtl w:val="0"/>
        </w:rPr>
        <w:t xml:space="preserve">device</w:t>
      </w:r>
      <w:r w:rsidDel="00000000" w:rsidR="00000000" w:rsidRPr="00000000">
        <w:rPr>
          <w:sz w:val="27"/>
          <w:szCs w:val="27"/>
          <w:highlight w:val="white"/>
          <w:rtl w:val="0"/>
        </w:rPr>
        <w:t xml:space="preserve"> personali.</w:t>
      </w:r>
    </w:p>
    <w:p w:rsidR="00000000" w:rsidDel="00000000" w:rsidP="00000000" w:rsidRDefault="00000000" w:rsidRPr="00000000" w14:paraId="00000005">
      <w:pPr>
        <w:spacing w:after="240" w:lineRule="auto"/>
        <w:rPr>
          <w:sz w:val="27"/>
          <w:szCs w:val="27"/>
          <w:highlight w:val="white"/>
        </w:rPr>
      </w:pPr>
      <w:r w:rsidDel="00000000" w:rsidR="00000000" w:rsidRPr="00000000">
        <w:rPr>
          <w:sz w:val="27"/>
          <w:szCs w:val="27"/>
          <w:highlight w:val="white"/>
          <w:rtl w:val="0"/>
        </w:rPr>
        <w:t xml:space="preserve">L’avviso si ricollega al perdurare dell’emergenza epidemiologica connessa al diffondersi del Coronavirus e alle misure restrittive prescritte.</w:t>
      </w:r>
    </w:p>
    <w:p w:rsidR="00000000" w:rsidDel="00000000" w:rsidP="00000000" w:rsidRDefault="00000000" w:rsidRPr="00000000" w14:paraId="00000006">
      <w:pPr>
        <w:spacing w:after="240" w:lineRule="auto"/>
        <w:rPr>
          <w:rFonts w:ascii="Tahoma" w:cs="Tahoma" w:eastAsia="Tahoma" w:hAnsi="Tahoma"/>
          <w:color w:val="0066cc"/>
          <w:sz w:val="27"/>
          <w:szCs w:val="27"/>
          <w:highlight w:val="white"/>
        </w:rPr>
      </w:pPr>
      <w:r w:rsidDel="00000000" w:rsidR="00000000" w:rsidRPr="00000000">
        <w:rPr>
          <w:rFonts w:ascii="Tahoma" w:cs="Tahoma" w:eastAsia="Tahoma" w:hAnsi="Tahoma"/>
          <w:sz w:val="27"/>
          <w:szCs w:val="27"/>
          <w:highlight w:val="white"/>
          <w:rtl w:val="0"/>
        </w:rPr>
        <w:t xml:space="preserve">Progetto approvato: </w:t>
      </w:r>
      <w:hyperlink r:id="rId7">
        <w:r w:rsidDel="00000000" w:rsidR="00000000" w:rsidRPr="00000000">
          <w:rPr>
            <w:rFonts w:ascii="Tahoma" w:cs="Tahoma" w:eastAsia="Tahoma" w:hAnsi="Tahoma"/>
            <w:color w:val="0066cc"/>
            <w:sz w:val="27"/>
            <w:szCs w:val="27"/>
            <w:highlight w:val="white"/>
            <w:rtl w:val="0"/>
          </w:rPr>
          <w:t xml:space="preserve">10.2.2A-FSEPON-LI-2020-64 – La scuola e i libri</w:t>
        </w:r>
      </w:hyperlink>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istitutocomprensivosarzana.edu.it/didattica-2/pon/sussidi/documentazione-sussid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